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FB" w:rsidRPr="007128FB" w:rsidRDefault="007128FB" w:rsidP="007128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>ZAKON</w:t>
      </w:r>
    </w:p>
    <w:p w:rsidR="007128FB" w:rsidRPr="007128FB" w:rsidRDefault="007128FB" w:rsidP="007128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>OBNOVLJIVIM</w:t>
      </w:r>
      <w:r w:rsidRPr="007128F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>IZVORIMA</w:t>
      </w:r>
      <w:r w:rsidRPr="007128F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sr-Latn-CS"/>
        </w:rPr>
        <w:t>ENERGIJE</w:t>
      </w:r>
    </w:p>
    <w:p w:rsidR="007128FB" w:rsidRPr="007128FB" w:rsidRDefault="007128FB" w:rsidP="007128F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val="sr-Latn-CS"/>
        </w:rPr>
        <w:t>OSNOVNE</w:t>
      </w:r>
      <w:r w:rsidRPr="007128FB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sertifikovanje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stimulisanje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mehanizama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fosilnih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fosilnih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klimatskim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 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povoljniji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ambijent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investitore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održivom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samozapošljavanja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održivost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operativne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dugoročno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 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sigurnosti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racionalnije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raznolikost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ruralnim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nerazvijenim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pretpostavke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zbrinjavanje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tranziciji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Pojmovi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vjetra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solarnu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toplotna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fotonaponska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geotermalnu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okoline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hidroenergiju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deponijski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dobijen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otpadnih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voda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podrške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svaki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instrument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stimuliše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upotrebu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smanjenjem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povećanjem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kojoj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prodati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povećanjem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smislu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nabavkom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slično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tako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nabavljene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pomoć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investiranju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poreske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olakšice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smanjenja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povrat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poreza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obavezujuće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podrške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direktne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cjenovne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podrške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isplate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garantovanim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otkupnim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cijenama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promjenjive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fiksne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krajnjeg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djeluje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okviru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prostorija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smještenih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unutar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ograničenih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područja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vlastitu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skladištiti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prodavati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pripadaju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kategoriji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domaćinstva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aktivnosti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predstavljaju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glavnu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komercijalnu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profesionalnu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djelatnost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grupu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sastoji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najmanje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definicijom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smješteni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istoj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zgradi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stambenom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kompleksu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instalisana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zbir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nazivnih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turbina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generatora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ukoliko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pogonsku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mašinu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turbinu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izraženu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kW,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isključivo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hibridnim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konvencionalne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punjenje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akumulacije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rezultat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pumpno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akumulacionog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program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fiksnim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garantovanim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otkupnim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cijenama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strane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ponudi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ponuđač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tržišna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promjenjivu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određenu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razliku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prodajne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usklađuje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kvartalnom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nivou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koristeći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ekonomski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primjeren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zaštitu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životne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sredine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obezbijedio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veličina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datom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11)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naknada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dodatak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krajnjim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lastRenderedPageBreak/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12)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fizičko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kupuje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svoje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13)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snabdijevanju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principu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snabdjevača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vlastitom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14)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elektranu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primarni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jedan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15)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komercijalnu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šemu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isporuči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prenosi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naredni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umanjenje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potrošnja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sopstvene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16)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komercijalnu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šemu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isporuči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prenosi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naredni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monetarnog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umanjenje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potrošnja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sopstvene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17)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energetski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kredit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pozitivnu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razliku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18)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monetarni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kredit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označava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novčanu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vrijednost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razlike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izračunava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odgovara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jediničnoj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komponente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sadržane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maloprodajnoj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snabdjevača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umanjene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5%,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ab/>
        <w:t xml:space="preserve">19)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balansna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grupa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grupa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čini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jedan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ostvarili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Pojmovi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II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PLANIRANJE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klimatskim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očekivanu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izražen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kW,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izražen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kW,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podijeljena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zbir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udjela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III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RAZVRSTAVANJE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SERTIFIKACIJA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Razvrstavanje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strike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izvora</w:t>
      </w:r>
    </w:p>
    <w:p w:rsidR="007128FB" w:rsidRDefault="007128FB" w:rsidP="007128FB">
      <w:pPr>
        <w:tabs>
          <w:tab w:val="left" w:pos="456"/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6"/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6"/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7128FB" w:rsidRPr="007128FB" w:rsidRDefault="007128FB" w:rsidP="007128FB">
      <w:pPr>
        <w:tabs>
          <w:tab w:val="left" w:pos="456"/>
          <w:tab w:val="left" w:pos="114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zavisno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razvrstavaju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vodotokova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neakumulisanu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sunca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deponijski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komunalnih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geotermalnih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kombinaciji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0" w:name="OLE_LINK16"/>
      <w:bookmarkStart w:id="1" w:name="OLE_LINK15"/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hidroelektrane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vjetroelektrane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deponijski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komunalnih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 kW.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vjetroelektrane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50.000 kW,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 kW.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bookmarkEnd w:id="0"/>
    <w:bookmarkEnd w:id="1"/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Sertifikovanje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u w:val="single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ekonomski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obezbijeđeno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pStyle w:val="NoSpacing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Izuzetno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50 kW,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nadležni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sastavni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deklaracije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priključku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potvrde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izvedenosti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radova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ovoga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ispunjenje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ostalih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kriterijuma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vodotokova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sunca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pojednostavljena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2" w:name="_Hlk24119675"/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bookmarkEnd w:id="2"/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IV </w:t>
      </w:r>
    </w:p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SI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STEMA</w:t>
      </w:r>
      <w:r w:rsidRPr="007128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BALANSIRANJE</w:t>
      </w:r>
    </w:p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</w:p>
    <w:p w:rsidR="007128FB" w:rsidRPr="007128FB" w:rsidRDefault="007128FB" w:rsidP="0065538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val="sr-Latn-CS"/>
        </w:rPr>
        <w:t>podsticaja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neprofitna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operativn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podliježe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reviziju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nabavljaju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preraspodjelu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nemogućnosti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prosječne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debalansa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deponuje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696"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raskid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fakturisanja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poravnanja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očitavanje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7128FB" w:rsidRPr="007128FB" w:rsidRDefault="007128FB" w:rsidP="007128F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neometan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energente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neometan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važećoj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pStyle w:val="ListParagraph"/>
        <w:autoSpaceDE w:val="0"/>
        <w:autoSpaceDN w:val="0"/>
        <w:adjustRightInd w:val="0"/>
        <w:ind w:left="0"/>
        <w:rPr>
          <w:b/>
          <w:noProof/>
          <w:lang w:val="sr-Latn-CS"/>
        </w:rPr>
      </w:pPr>
    </w:p>
    <w:p w:rsidR="007128FB" w:rsidRPr="007128FB" w:rsidRDefault="007128FB" w:rsidP="007128FB">
      <w:pPr>
        <w:pStyle w:val="ListParagraph"/>
        <w:autoSpaceDE w:val="0"/>
        <w:autoSpaceDN w:val="0"/>
        <w:adjustRightInd w:val="0"/>
        <w:ind w:left="0"/>
        <w:rPr>
          <w:b/>
          <w:noProof/>
          <w:lang w:val="sr-Latn-CS"/>
        </w:rPr>
      </w:pPr>
      <w:r w:rsidRPr="007128FB">
        <w:rPr>
          <w:b/>
          <w:noProof/>
          <w:lang w:val="sr-Latn-CS"/>
        </w:rPr>
        <w:lastRenderedPageBreak/>
        <w:t xml:space="preserve">2. </w:t>
      </w:r>
      <w:r>
        <w:rPr>
          <w:b/>
          <w:noProof/>
          <w:lang w:val="sr-Latn-CS"/>
        </w:rPr>
        <w:t>Balansiranje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FF0000"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raspored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raspored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:rsidR="007128FB" w:rsidRPr="007128FB" w:rsidRDefault="007128FB" w:rsidP="00712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:rsidR="007128FB" w:rsidRPr="007128FB" w:rsidRDefault="007128FB" w:rsidP="00712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debalansa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cjeline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nesmetan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GLAVA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V 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IZVORA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</w:p>
    <w:p w:rsidR="007128FB" w:rsidRPr="007128FB" w:rsidRDefault="007128FB" w:rsidP="007128F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entiteta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upotrijebiti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principu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reciprociteta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relevantnim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korisničkih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članarine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tijelima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lastRenderedPageBreak/>
        <w:t>GLAVA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VI 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ENERGIJE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podsticanja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7128FB" w:rsidRPr="007128FB" w:rsidRDefault="007128FB" w:rsidP="007128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posjeduje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ugrađena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vodotoku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km,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vodotoku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vodozahvat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mašinska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udaljeni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novoizgrađene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128FB"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srazmjerno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srazmjerno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podrazumijeva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eksploataciji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rekonstrukcija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rekonstrukcijom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1.1.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Pogodnosti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prilikom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270" w:hanging="27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7128FB" w:rsidRPr="007128FB" w:rsidRDefault="007128FB" w:rsidP="007128FB">
      <w:pPr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zahtijeva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distributivnu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izradi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dostavi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trošku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detaljnu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analizu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mogućnosti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procjenom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vremenskim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okvirom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realizaciju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predloženog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podjelu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7128FB" w:rsidRPr="007128FB" w:rsidRDefault="007128FB" w:rsidP="007128FB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1.2.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premiju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30.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cijelosti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djelimično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nepromjenljiva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promjenjiva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kvartal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prosječnu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veleprodajnu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kvartalu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Bosni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Hercegovini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dvije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berze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zemljama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okruženju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.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provjerava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hidroelektrane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kW;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vjetroelektrane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kW;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 kW;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kW,</w:t>
      </w:r>
    </w:p>
    <w:p w:rsidR="007128FB" w:rsidRPr="007128FB" w:rsidRDefault="007128FB" w:rsidP="007128F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 kW;</w:t>
      </w:r>
    </w:p>
    <w:p w:rsidR="007128FB" w:rsidRPr="007128FB" w:rsidRDefault="007128FB" w:rsidP="007128F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deponijski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komunalnih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kW,</w:t>
      </w:r>
    </w:p>
    <w:p w:rsidR="007128FB" w:rsidRPr="007128FB" w:rsidRDefault="007128FB" w:rsidP="007128F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500 kW.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dodjeli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snazi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konvertibilne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33.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revidiran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građevinsku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nosilac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rezerviše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preciziraju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eksploataciji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rekonstrukciju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preciziraju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očitavanje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granični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promjenljiva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nepromjenljiva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konvertibilne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36.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nadmetanja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nadmetanja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lokacijska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Otvorena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određenu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tehnologiju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utvrđene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kapacitete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učestvovati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zainteresovani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ponuđači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pribavili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lokacijske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ekološku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dozvolu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Lokacijska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ekološka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38.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depozita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dovela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ponovljenog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zaredom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ponovljenih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Izmijenjeni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prelaziti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lokacijska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raspoloživoj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najniža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odbacuje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nadzire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neusklađenosti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otklanjanje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sprovedenoj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naziv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konkretnu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kašnjenja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12%.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41.</w:t>
      </w:r>
    </w:p>
    <w:p w:rsidR="007128FB" w:rsidRPr="007128FB" w:rsidRDefault="007128FB" w:rsidP="007128FB">
      <w:pPr>
        <w:spacing w:after="0" w:line="240" w:lineRule="auto"/>
        <w:ind w:left="396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kašnjenje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Protekom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drugorangiranog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</w:t>
      </w:r>
    </w:p>
    <w:p w:rsidR="007128FB" w:rsidRPr="007128FB" w:rsidRDefault="007128FB" w:rsidP="007128FB">
      <w:p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</w:p>
    <w:p w:rsidR="007128FB" w:rsidRPr="007128FB" w:rsidRDefault="007128FB" w:rsidP="007128FB">
      <w:p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zadaci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raspisivanja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instrumenti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ind w:firstLine="71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71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Predugovori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ugovori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podsticaju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44.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zavisno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najpovoljniji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dozvoljeno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definišu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45.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ponovo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zatraži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ukinuti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neistinitih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parametrima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slučajevima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Poništenjem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ukidanjem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709"/>
          <w:tab w:val="left" w:pos="993"/>
          <w:tab w:val="left" w:pos="1134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1.4.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46.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odvojeno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Vlade.</w:t>
      </w:r>
    </w:p>
    <w:p w:rsid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47.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funkcionisanje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promovisanja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bazi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opravdanih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izvora.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korišćenja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grijanje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hlađenje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transportu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48.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kolektori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pumpe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aerotermalne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geotermalne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hidrotermalne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49.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prevoza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područja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automobila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pogledu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postavljanje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infrastrukture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sklopu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prevoza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51.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punionica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prioritetno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pStyle w:val="ListParagraph"/>
        <w:autoSpaceDE w:val="0"/>
        <w:autoSpaceDN w:val="0"/>
        <w:adjustRightInd w:val="0"/>
        <w:ind w:left="0"/>
        <w:jc w:val="both"/>
        <w:rPr>
          <w:b/>
          <w:noProof/>
          <w:lang w:val="sr-Latn-CS"/>
        </w:rPr>
      </w:pPr>
      <w:r w:rsidRPr="007128FB">
        <w:rPr>
          <w:b/>
          <w:noProof/>
          <w:lang w:val="sr-Latn-CS"/>
        </w:rPr>
        <w:t xml:space="preserve">3. </w:t>
      </w:r>
      <w:r>
        <w:rPr>
          <w:b/>
          <w:noProof/>
          <w:lang w:val="sr-Latn-CS"/>
        </w:rPr>
        <w:t>Kupci</w:t>
      </w:r>
      <w:r w:rsidRPr="007128FB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proizvođači</w:t>
      </w:r>
      <w:r w:rsidRPr="007128F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7128F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zajednice</w:t>
      </w:r>
      <w:r w:rsidRPr="007128F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obnovljive</w:t>
      </w:r>
      <w:r w:rsidRPr="007128F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energije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stiče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energije.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skladišti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instalacijom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licencu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izvedenosti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pojednostavljenoj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izgrađena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53.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dvosmjernim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brojilom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mjesečnom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veličinama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 54.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10,8 kW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10,8 kW),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opsegu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10,8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kW),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kW.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prelazi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150 kW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prijavljivati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raspored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debalansa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 55.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dvosmjernog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nego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kWh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monetarnog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Monetarni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komponente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maloprodajnoj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monetarni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dvanaestomjesečni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nadoknadu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56.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preuzetu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kontinuitetu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57.</w:t>
      </w:r>
    </w:p>
    <w:p w:rsidR="007128FB" w:rsidRPr="007128FB" w:rsidRDefault="007128FB" w:rsidP="007128FB">
      <w:pPr>
        <w:tabs>
          <w:tab w:val="left" w:pos="142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kategorije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komercijalni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locirani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zgrade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kompleksa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regulišu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komercijalne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alokaciju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zadržavaju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primijeniti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neopravdani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diskriminatorski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sprečavaju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58.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pametnim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alokaciju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655383" w:rsidRDefault="007128FB" w:rsidP="006553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59.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obnovljive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daljem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tekstu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pravno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lice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osnovano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skladu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propisima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ciljem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korišćenja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obnovljivih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izvora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proizvodnju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električne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prvenstveno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radi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zadovoljenja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energetskih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potreba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način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podrazumijeva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ekološke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ekonomske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socijalne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koristi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članove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7128F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trike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Rad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zasniva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otvorenom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dobrovoljnom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učešću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njenih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članov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koji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imaju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prebivališt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sjedište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opštini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kojoj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izvodi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projekat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opštini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čija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teritorija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graniči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teritorijom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opštine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kojoj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izvodi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projekat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7128F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ab/>
        <w:t xml:space="preserve">(3)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može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biti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fizičko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pravno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lice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javna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preduzeća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institucije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uključujući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jedinice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lokalne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samouprave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7128F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ab/>
        <w:t xml:space="preserve">(4)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Malo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srednje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preduzeće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preduzetnik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može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biti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pod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uslovom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da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proizvodnja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električne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iz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obnovljivih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izvora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predstavlja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njegovu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pretežnu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osnovnu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djelatnost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ab/>
        <w:t xml:space="preserve">(5)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zadržava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status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krajnjeg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kupca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pravima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obavezama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koje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ima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prema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njemu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mogu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primijeniti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neopravdani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diskriminatorski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uslovi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postupci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koji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bi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spriječili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njegovo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učešće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Zajednici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6553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60.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skladištenje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uzajamnu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vlasništvu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ab/>
        <w:t xml:space="preserve">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ristup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tržištima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direktno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putem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agregacije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nediskriminatorski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,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podsticaje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premije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potrošnju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vlastite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pogodnosti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prilikom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. 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tržišnom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djelatnošću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obezbjeđuje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uslugu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objedinjenog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djelovanja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agregaciju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djelatnosti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komercijalnoj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aktivnosti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odgovarajuće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djelatnosti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61.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preko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zajedničkog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priključka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kompletne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pripadajućim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obračunskim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mjestom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ili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preko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zasebnih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priključaka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pripadajućim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obračunskim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mjestima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pojedinačnih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elektrana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uređaja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skladištenje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uređaja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potrebe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opseg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perimetar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dopušteno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pametnim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655383" w:rsidRDefault="007128FB" w:rsidP="0065538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regulišu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korištenje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administriranje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="0065538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 w:eastAsia="en-GB"/>
        </w:rPr>
      </w:pPr>
    </w:p>
    <w:p w:rsidR="00655383" w:rsidRPr="007128FB" w:rsidRDefault="00655383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62.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333333"/>
          <w:sz w:val="24"/>
          <w:szCs w:val="24"/>
          <w:lang w:val="sr-Latn-CS" w:eastAsia="en-GB"/>
        </w:rPr>
      </w:pPr>
    </w:p>
    <w:p w:rsidR="007128FB" w:rsidRPr="007128FB" w:rsidRDefault="007128FB" w:rsidP="007128F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Regulatorne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lokacije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uvida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mjesto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prebivališta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ili</w:t>
      </w:r>
      <w:r w:rsidRPr="007128FB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en-GB"/>
        </w:rPr>
        <w:t>sjedišta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zajednicama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tržištu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elektrana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sopstvene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pojedinačno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komercijalnih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snabdjevača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zadatke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šema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sopstvene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statusa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zajednice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pitanja</w:t>
      </w:r>
      <w:r w:rsidRPr="007128FB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7128FB" w:rsidRDefault="007128FB" w:rsidP="007128F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655383" w:rsidRPr="007128FB" w:rsidRDefault="00655383" w:rsidP="007128F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4.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Ostale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mjere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informisanje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55383" w:rsidRPr="007128FB" w:rsidRDefault="00655383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isteklo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referentne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55383" w:rsidRPr="007128FB" w:rsidRDefault="00655383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64.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razvijaju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edukativne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brošure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prednostima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655383" w:rsidRDefault="00655383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VII 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IZGRADNJA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VOĐENJE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6553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Izgradnja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65.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strateškim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planovima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deponijski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komunalnih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deponijski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gas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dobijen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komunalnih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otpadnih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solarnih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fotonaponskim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ćelijama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250 kW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instalisane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ponuđačem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Izgradnja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energetskih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postrojenja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vrši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osnovu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građevinske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dozvole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pribavljene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skladu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propisima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kojima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uređuje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oblast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građenja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zaštite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životne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sredine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osim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slučaju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kada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objektu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koji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ima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građevinsku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dozvolu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sklopu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adaptacije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objekta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vrši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izgradnja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elektrane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kupca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proizvođača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koj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koristi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obnovljive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izvore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instalisane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snage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>do</w:t>
      </w:r>
      <w:r w:rsidRPr="007128FB"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  <w:t xml:space="preserve"> 50 kW.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shd w:val="clear" w:color="auto" w:fill="FFFFFF" w:themeFill="background1"/>
          <w:lang w:val="sr-Latn-CS"/>
        </w:rPr>
      </w:pPr>
    </w:p>
    <w:p w:rsidR="007128FB" w:rsidRPr="007128FB" w:rsidRDefault="007128FB" w:rsidP="0065538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projekata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grijanje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hlađenje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tehničko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karakteristikama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kontinuirano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ažurira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65538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68.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resorne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resorne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koncesiji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elektrane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obavještenje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rješenja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VIII </w:t>
      </w:r>
    </w:p>
    <w:p w:rsidR="007128FB" w:rsidRPr="007128FB" w:rsidRDefault="007128FB" w:rsidP="007128FB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KAZNENE</w:t>
      </w:r>
      <w:r w:rsidRPr="007128F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ODREDBE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69.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odredaba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donesenih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(1)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Inspekcijski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odredaba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inspekcijske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posredstvom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inspektora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inspekcijskog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(2)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Kontrolu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izgradnje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elektroenergetskih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tehničke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ispravnosti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pogonske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sigurnosti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elektroenergetskih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bezbjednosti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ljudi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elektroenergetskim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uvid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tehničku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pogonsku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dokumentaciju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nadležna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inspekcija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posebnim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7128FB" w:rsidRPr="00655383" w:rsidRDefault="007128FB" w:rsidP="006553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Inspekcijski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obuhvata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nadzor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nad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primjenom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standarda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tehničkih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normativa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normi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kvaliteta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odnose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projektovanje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građenje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rekonstrukciju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održavanje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korišćenje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elektroenergetskih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objekata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instalacija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opreme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tim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objektima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kvalitet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isporuke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slično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71.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učini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dostupnim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raspiše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obezbijedi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nesmetan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prodatoj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krajnjih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snabdjevač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snabdijevanje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preuzme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alokaciju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učesnika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šemi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otpočne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izgradnju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6).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preduzetnik</w:t>
      </w:r>
      <w:r w:rsidRPr="007128FB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IX </w:t>
      </w:r>
    </w:p>
    <w:p w:rsidR="007128FB" w:rsidRPr="007128FB" w:rsidRDefault="007128FB" w:rsidP="007128F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PRELAZNE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ZAVRŠNE</w:t>
      </w:r>
      <w:r w:rsidRPr="007128FB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ODREDBE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  <w:t xml:space="preserve"> 72.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3" w:name="_Hlk16772161"/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hAnsi="Times New Roman" w:cs="Times New Roman"/>
          <w:noProof/>
          <w:lang w:val="sr-Latn-CS"/>
        </w:rPr>
        <w:tab/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Program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projekata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Regulatorna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sertifikata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porijekla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34),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aukcijama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43),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Pravilnik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energije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62). 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13),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Uputstvo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akata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1),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podzakonski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suprotnosti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73.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bookmarkEnd w:id="3"/>
    <w:p w:rsidR="007128FB" w:rsidRPr="007128FB" w:rsidRDefault="007128FB" w:rsidP="007128FB">
      <w:pPr>
        <w:spacing w:after="0" w:line="240" w:lineRule="auto"/>
        <w:ind w:right="4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74.</w:t>
      </w:r>
    </w:p>
    <w:p w:rsidR="007128FB" w:rsidRPr="007128FB" w:rsidRDefault="007128FB" w:rsidP="007128F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stekao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balansne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Proizvođač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instalisana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proizvodnih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jednaka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kW,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stekao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garantovanoj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otkupnoj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prijavljuje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raspored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Operateru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balansiranja</w:t>
      </w:r>
      <w:r w:rsidRPr="007128FB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75.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Postupci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ostvarivanje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prava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započeti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završiće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odredbama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obnovljivim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efikasnoj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kogeneraciji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Službeni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glasnik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br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. 39/13, 108/13, 79/15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26/19).</w:t>
      </w:r>
    </w:p>
    <w:p w:rsidR="007128FB" w:rsidRPr="007128FB" w:rsidRDefault="007128FB" w:rsidP="007128FB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Proizvođači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električne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energije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iz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postrojenja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koja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koriste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obnovljive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izvore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energije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efikasnoj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>kogeneraciji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 w:eastAsia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stekli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preliminarno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podsticaj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obnovljivim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izvorima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energije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efikasnoj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kogeneraciji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39/13, 108/13, 79/15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26/19),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mogu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produžiti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preliminarno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ukoliko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ispunjavaju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ako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slobodne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količine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podsticanje</w:t>
      </w:r>
      <w:r w:rsidRPr="007128F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koriste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obnovljive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izvore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efikasnoj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kogeneraciji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pribavili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kogeneraciji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39/13, 108/13, 79/15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26/19),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juna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55383" w:rsidRDefault="00655383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lastRenderedPageBreak/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76.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Mješoviti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holding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Trebinje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Mješoviti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holding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Trebinje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odvojenu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računovodstvenu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namjenski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kupoprodaju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proizvedene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77.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uspostavljanja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Operatera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Mješoviti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holding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Trebinje</w:t>
      </w:r>
      <w:r w:rsidRPr="007128FB" w:rsidDel="00E435D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učestvovati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aukcijama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128FB" w:rsidRPr="007128FB" w:rsidRDefault="007128FB" w:rsidP="007128FB">
      <w:pPr>
        <w:tabs>
          <w:tab w:val="left" w:pos="-142"/>
          <w:tab w:val="left" w:pos="851"/>
          <w:tab w:val="left" w:pos="1134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-142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78.</w:t>
      </w:r>
    </w:p>
    <w:p w:rsidR="007128FB" w:rsidRPr="007128FB" w:rsidRDefault="007128FB" w:rsidP="007128FB">
      <w:pPr>
        <w:tabs>
          <w:tab w:val="left" w:pos="-142"/>
          <w:tab w:val="left" w:pos="851"/>
          <w:tab w:val="left" w:pos="1134"/>
        </w:tabs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-142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izvorima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kogeneraciji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39/13, 108/13, 79/15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26/19).</w:t>
      </w: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  <w:t>Član</w:t>
      </w:r>
      <w:r w:rsidRPr="007128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  <w:t xml:space="preserve"> 79.</w:t>
      </w:r>
    </w:p>
    <w:p w:rsidR="007128FB" w:rsidRPr="007128FB" w:rsidRDefault="007128FB" w:rsidP="007128F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 w:eastAsia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7128FB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left" w:pos="6570"/>
        </w:tabs>
        <w:spacing w:after="0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6629F">
        <w:rPr>
          <w:rFonts w:ascii="Times New Roman" w:hAnsi="Times New Roman"/>
          <w:noProof/>
          <w:sz w:val="24"/>
          <w:szCs w:val="24"/>
          <w:lang w:val="sr-Latn-CS"/>
        </w:rPr>
        <w:t>: 02/1-021-127</w:t>
      </w:r>
      <w:bookmarkStart w:id="4" w:name="_GoBack"/>
      <w:bookmarkEnd w:id="4"/>
      <w:r w:rsidRPr="007128FB">
        <w:rPr>
          <w:rFonts w:ascii="Times New Roman" w:hAnsi="Times New Roman"/>
          <w:noProof/>
          <w:sz w:val="24"/>
          <w:szCs w:val="24"/>
          <w:lang w:val="sr-Latn-CS"/>
        </w:rPr>
        <w:t>/22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7128FB" w:rsidRPr="007128FB" w:rsidRDefault="007128FB" w:rsidP="007128FB">
      <w:pPr>
        <w:tabs>
          <w:tab w:val="left" w:pos="6120"/>
        </w:tabs>
        <w:spacing w:after="0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: 10.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128FB" w:rsidRPr="007128FB" w:rsidRDefault="007128FB" w:rsidP="007128FB">
      <w:pPr>
        <w:tabs>
          <w:tab w:val="left" w:pos="630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7128FB" w:rsidRPr="007128FB" w:rsidRDefault="007128FB" w:rsidP="007128FB">
      <w:pPr>
        <w:tabs>
          <w:tab w:val="left" w:pos="630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7128F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7128FB" w:rsidRPr="007128FB" w:rsidRDefault="007128FB" w:rsidP="007128FB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7128FB" w:rsidRPr="007128FB" w:rsidRDefault="007128FB" w:rsidP="007128FB">
      <w:pPr>
        <w:tabs>
          <w:tab w:val="center" w:pos="7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552D70" w:rsidRPr="007128FB" w:rsidRDefault="00552D70">
      <w:pPr>
        <w:rPr>
          <w:noProof/>
          <w:lang w:val="sr-Latn-CS"/>
        </w:rPr>
      </w:pPr>
    </w:p>
    <w:sectPr w:rsidR="00552D70" w:rsidRPr="007128FB" w:rsidSect="00B34796">
      <w:pgSz w:w="11906" w:h="16838" w:code="9"/>
      <w:pgMar w:top="1872" w:right="1440" w:bottom="115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undesSerif Office">
    <w:altName w:val="Cambria"/>
    <w:charset w:val="00"/>
    <w:family w:val="roman"/>
    <w:pitch w:val="variable"/>
    <w:sig w:usb0="A00000BF" w:usb1="4000206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2AF"/>
    <w:multiLevelType w:val="hybridMultilevel"/>
    <w:tmpl w:val="D50AA1A8"/>
    <w:lvl w:ilvl="0" w:tplc="33BE62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A3B"/>
    <w:multiLevelType w:val="hybridMultilevel"/>
    <w:tmpl w:val="AAE81D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91"/>
    <w:rsid w:val="00552D70"/>
    <w:rsid w:val="0056629F"/>
    <w:rsid w:val="00597091"/>
    <w:rsid w:val="00655383"/>
    <w:rsid w:val="007128FB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8FB"/>
    <w:pPr>
      <w:spacing w:after="160" w:line="259" w:lineRule="auto"/>
    </w:pPr>
    <w:rPr>
      <w:rFonts w:asciiTheme="minorHAnsi" w:hAnsiTheme="minorHAnsi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7128F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7128FB"/>
    <w:pPr>
      <w:keepNext/>
      <w:keepLines/>
      <w:spacing w:before="40" w:after="0" w:line="240" w:lineRule="auto"/>
      <w:ind w:left="1417" w:hanging="357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7128F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128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NoList1">
    <w:name w:val="No List1"/>
    <w:next w:val="NoList"/>
    <w:uiPriority w:val="99"/>
    <w:semiHidden/>
    <w:unhideWhenUsed/>
    <w:rsid w:val="007128FB"/>
  </w:style>
  <w:style w:type="character" w:styleId="Hyperlink">
    <w:name w:val="Hyperlink"/>
    <w:uiPriority w:val="99"/>
    <w:semiHidden/>
    <w:unhideWhenUsed/>
    <w:rsid w:val="00712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1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7128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hr-BA" w:eastAsia="hr-B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28FB"/>
    <w:rPr>
      <w:rFonts w:ascii="Times New Roman" w:eastAsiaTheme="minorEastAsia" w:hAnsi="Times New Roman" w:cs="Times New Roman"/>
      <w:sz w:val="20"/>
      <w:szCs w:val="20"/>
      <w:lang w:val="hr-BA" w:eastAsia="hr-BA"/>
    </w:rPr>
  </w:style>
  <w:style w:type="character" w:customStyle="1" w:styleId="HeaderChar">
    <w:name w:val="Header Char"/>
    <w:basedOn w:val="DefaultParagraphFont"/>
    <w:link w:val="Header"/>
    <w:uiPriority w:val="99"/>
    <w:rsid w:val="007128FB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128F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7128FB"/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128F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128F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7128FB"/>
    <w:rPr>
      <w:rFonts w:asciiTheme="minorHAnsi" w:hAnsiTheme="minorHAnsi"/>
      <w:sz w:val="22"/>
      <w:szCs w:val="2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7128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128FB"/>
    <w:rPr>
      <w:rFonts w:ascii="Times New Roman" w:eastAsia="Times New Roman" w:hAnsi="Times New Roman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8FB"/>
    <w:rPr>
      <w:rFonts w:ascii="Times New Roman" w:eastAsiaTheme="minorEastAsia" w:hAnsi="Times New Roman" w:cs="Times New Roman"/>
      <w:b/>
      <w:bCs/>
      <w:sz w:val="20"/>
      <w:szCs w:val="20"/>
      <w:lang w:val="hr-BA" w:eastAsia="hr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8F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7128FB"/>
    <w:rPr>
      <w:rFonts w:ascii="Times New Roman" w:eastAsiaTheme="minorEastAsia" w:hAnsi="Times New Roman" w:cs="Times New Roman"/>
      <w:b/>
      <w:bCs/>
      <w:sz w:val="20"/>
      <w:szCs w:val="20"/>
      <w:lang w:val="hr-BA" w:eastAsia="hr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8F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8FB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aliases w:val="Market4RES Lijstalinea Char,Resume Title Char,Citation List Char,Bullets1 Char,heading 4 Char,Lettre d'introduction Char,Paragrafo elenco Char,List Paragraph1 Char,1st level - Bullet List Paragraph Char,List Paragraph1 Car Char"/>
    <w:link w:val="ListParagraph"/>
    <w:uiPriority w:val="34"/>
    <w:locked/>
    <w:rsid w:val="007128FB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Market4RES Lijstalinea,Resume Title,Citation List,Bullets1,heading 4,Lettre d'introduction,Paragrafo elenco,List Paragraph1,1st level - Bullet List Paragraph,List Paragraph1 Car,Ha,Body,List Paragraph_Table bullets,Heading 1.1,Heading 21"/>
    <w:basedOn w:val="Normal"/>
    <w:link w:val="ListParagraphChar"/>
    <w:uiPriority w:val="34"/>
    <w:qFormat/>
    <w:rsid w:val="007128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egmentp">
    <w:name w:val="esegment_p"/>
    <w:basedOn w:val="Normal"/>
    <w:uiPriority w:val="99"/>
    <w:semiHidden/>
    <w:rsid w:val="007128FB"/>
    <w:pPr>
      <w:spacing w:after="140" w:line="240" w:lineRule="auto"/>
      <w:ind w:firstLine="160"/>
      <w:jc w:val="both"/>
    </w:pPr>
    <w:rPr>
      <w:rFonts w:ascii="Times New Roman" w:eastAsia="Times New Roman" w:hAnsi="Times New Roman" w:cs="Times New Roman"/>
      <w:color w:val="313131"/>
      <w:sz w:val="24"/>
      <w:szCs w:val="24"/>
      <w:lang w:val="en-US"/>
    </w:rPr>
  </w:style>
  <w:style w:type="paragraph" w:customStyle="1" w:styleId="esegmenth4">
    <w:name w:val="esegment_h4"/>
    <w:basedOn w:val="Normal"/>
    <w:uiPriority w:val="99"/>
    <w:semiHidden/>
    <w:rsid w:val="007128FB"/>
    <w:pPr>
      <w:spacing w:after="140" w:line="240" w:lineRule="auto"/>
      <w:jc w:val="center"/>
    </w:pPr>
    <w:rPr>
      <w:rFonts w:ascii="Times New Roman" w:eastAsia="Times New Roman" w:hAnsi="Times New Roman" w:cs="Times New Roman"/>
      <w:b/>
      <w:bCs/>
      <w:color w:val="313131"/>
      <w:sz w:val="24"/>
      <w:szCs w:val="24"/>
      <w:lang w:val="en-US"/>
    </w:rPr>
  </w:style>
  <w:style w:type="character" w:customStyle="1" w:styleId="GIZReportChar">
    <w:name w:val="GIZ Report Char"/>
    <w:basedOn w:val="DefaultParagraphFont"/>
    <w:link w:val="GIZReport"/>
    <w:uiPriority w:val="1"/>
    <w:semiHidden/>
    <w:locked/>
    <w:rsid w:val="007128FB"/>
    <w:rPr>
      <w:rFonts w:ascii="BundesSerif Office" w:eastAsiaTheme="minorEastAsia" w:hAnsi="BundesSerif Office" w:cs="Verdana"/>
      <w:sz w:val="20"/>
      <w:szCs w:val="20"/>
      <w:lang w:eastAsia="zh-CN"/>
    </w:rPr>
  </w:style>
  <w:style w:type="paragraph" w:customStyle="1" w:styleId="GIZReport">
    <w:name w:val="GIZ Report"/>
    <w:basedOn w:val="BodyText"/>
    <w:link w:val="GIZReportChar"/>
    <w:uiPriority w:val="1"/>
    <w:semiHidden/>
    <w:qFormat/>
    <w:rsid w:val="007128FB"/>
    <w:pPr>
      <w:spacing w:before="40" w:after="140" w:line="280" w:lineRule="atLeast"/>
      <w:ind w:left="720"/>
      <w:jc w:val="both"/>
    </w:pPr>
    <w:rPr>
      <w:rFonts w:ascii="BundesSerif Office" w:eastAsiaTheme="minorEastAsia" w:hAnsi="BundesSerif Office" w:cs="Verdana"/>
      <w:sz w:val="20"/>
      <w:szCs w:val="20"/>
      <w:lang w:eastAsia="zh-CN"/>
    </w:rPr>
  </w:style>
  <w:style w:type="paragraph" w:customStyle="1" w:styleId="box459199">
    <w:name w:val="box_459199"/>
    <w:basedOn w:val="Normal"/>
    <w:uiPriority w:val="99"/>
    <w:semiHidden/>
    <w:rsid w:val="0071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character" w:styleId="CommentReference">
    <w:name w:val="annotation reference"/>
    <w:basedOn w:val="DefaultParagraphFont"/>
    <w:uiPriority w:val="99"/>
    <w:semiHidden/>
    <w:unhideWhenUsed/>
    <w:rsid w:val="007128FB"/>
    <w:rPr>
      <w:sz w:val="16"/>
      <w:szCs w:val="16"/>
    </w:rPr>
  </w:style>
  <w:style w:type="character" w:customStyle="1" w:styleId="FontStyle19">
    <w:name w:val="Font Style19"/>
    <w:uiPriority w:val="99"/>
    <w:rsid w:val="007128F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tlid-translation">
    <w:name w:val="tlid-translation"/>
    <w:basedOn w:val="DefaultParagraphFont"/>
    <w:rsid w:val="007128FB"/>
  </w:style>
  <w:style w:type="character" w:customStyle="1" w:styleId="yiv5272060647gmail-tlid-translation">
    <w:name w:val="yiv5272060647gmail-tlid-translation"/>
    <w:basedOn w:val="DefaultParagraphFont"/>
    <w:rsid w:val="007128FB"/>
  </w:style>
  <w:style w:type="paragraph" w:styleId="Revision">
    <w:name w:val="Revision"/>
    <w:hidden/>
    <w:uiPriority w:val="99"/>
    <w:semiHidden/>
    <w:rsid w:val="007128FB"/>
    <w:pPr>
      <w:spacing w:after="0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rsid w:val="00712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28F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7128FB"/>
    <w:rPr>
      <w:vertAlign w:val="superscript"/>
    </w:rPr>
  </w:style>
  <w:style w:type="paragraph" w:styleId="NoSpacing">
    <w:name w:val="No Spacing"/>
    <w:link w:val="NoSpacingChar"/>
    <w:uiPriority w:val="99"/>
    <w:qFormat/>
    <w:rsid w:val="007128FB"/>
    <w:pPr>
      <w:spacing w:after="0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 1"/>
    <w:basedOn w:val="Normal"/>
    <w:link w:val="Normal1Char"/>
    <w:qFormat/>
    <w:rsid w:val="007128FB"/>
    <w:pPr>
      <w:shd w:val="clear" w:color="auto" w:fill="FFFFFF"/>
      <w:spacing w:after="0" w:line="240" w:lineRule="auto"/>
      <w:ind w:left="1417" w:firstLine="34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Normal1Char">
    <w:name w:val="Normal 1 Char"/>
    <w:link w:val="Normal1"/>
    <w:rsid w:val="007128FB"/>
    <w:rPr>
      <w:rFonts w:ascii="Times New Roman" w:eastAsia="Times New Roman" w:hAnsi="Times New Roman" w:cs="Times New Roman"/>
      <w:shd w:val="clear" w:color="auto" w:fill="FFFFFF"/>
      <w:lang w:val="ru-RU"/>
    </w:rPr>
  </w:style>
  <w:style w:type="paragraph" w:customStyle="1" w:styleId="Style11">
    <w:name w:val="Style11"/>
    <w:basedOn w:val="Normal"/>
    <w:uiPriority w:val="99"/>
    <w:rsid w:val="007128FB"/>
    <w:pPr>
      <w:widowControl w:val="0"/>
      <w:autoSpaceDE w:val="0"/>
      <w:autoSpaceDN w:val="0"/>
      <w:adjustRightInd w:val="0"/>
      <w:spacing w:after="0" w:line="270" w:lineRule="exact"/>
      <w:ind w:hanging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basedOn w:val="DefaultParagraphFont"/>
    <w:uiPriority w:val="99"/>
    <w:rsid w:val="007128FB"/>
    <w:rPr>
      <w:rFonts w:ascii="Times New Roman" w:hAnsi="Times New Roman" w:cs="Times New Roman" w:hint="default"/>
      <w:color w:val="000000"/>
      <w:spacing w:val="10"/>
      <w:sz w:val="20"/>
      <w:szCs w:val="20"/>
    </w:rPr>
  </w:style>
  <w:style w:type="paragraph" w:customStyle="1" w:styleId="Style8">
    <w:name w:val="Style8"/>
    <w:basedOn w:val="Normal"/>
    <w:uiPriority w:val="99"/>
    <w:rsid w:val="007128FB"/>
    <w:pPr>
      <w:widowControl w:val="0"/>
      <w:autoSpaceDE w:val="0"/>
      <w:autoSpaceDN w:val="0"/>
      <w:adjustRightInd w:val="0"/>
      <w:spacing w:after="0" w:line="272" w:lineRule="exact"/>
      <w:ind w:firstLine="29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128FB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NoSpacingChar">
    <w:name w:val="No Spacing Char"/>
    <w:link w:val="NoSpacing"/>
    <w:uiPriority w:val="99"/>
    <w:locked/>
    <w:rsid w:val="007128FB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8FB"/>
    <w:pPr>
      <w:spacing w:after="160" w:line="259" w:lineRule="auto"/>
    </w:pPr>
    <w:rPr>
      <w:rFonts w:asciiTheme="minorHAnsi" w:hAnsiTheme="minorHAnsi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7128F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7128FB"/>
    <w:pPr>
      <w:keepNext/>
      <w:keepLines/>
      <w:spacing w:before="40" w:after="0" w:line="240" w:lineRule="auto"/>
      <w:ind w:left="1417" w:hanging="357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7128F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128F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NoList1">
    <w:name w:val="No List1"/>
    <w:next w:val="NoList"/>
    <w:uiPriority w:val="99"/>
    <w:semiHidden/>
    <w:unhideWhenUsed/>
    <w:rsid w:val="007128FB"/>
  </w:style>
  <w:style w:type="character" w:styleId="Hyperlink">
    <w:name w:val="Hyperlink"/>
    <w:uiPriority w:val="99"/>
    <w:semiHidden/>
    <w:unhideWhenUsed/>
    <w:rsid w:val="00712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1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7128F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hr-BA" w:eastAsia="hr-B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28FB"/>
    <w:rPr>
      <w:rFonts w:ascii="Times New Roman" w:eastAsiaTheme="minorEastAsia" w:hAnsi="Times New Roman" w:cs="Times New Roman"/>
      <w:sz w:val="20"/>
      <w:szCs w:val="20"/>
      <w:lang w:val="hr-BA" w:eastAsia="hr-BA"/>
    </w:rPr>
  </w:style>
  <w:style w:type="character" w:customStyle="1" w:styleId="HeaderChar">
    <w:name w:val="Header Char"/>
    <w:basedOn w:val="DefaultParagraphFont"/>
    <w:link w:val="Header"/>
    <w:uiPriority w:val="99"/>
    <w:rsid w:val="007128FB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7128F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7128FB"/>
    <w:rPr>
      <w:rFonts w:asciiTheme="minorHAnsi" w:hAnsiTheme="minorHAns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128F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128F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7128FB"/>
    <w:rPr>
      <w:rFonts w:asciiTheme="minorHAnsi" w:hAnsiTheme="minorHAnsi"/>
      <w:sz w:val="22"/>
      <w:szCs w:val="2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7128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128FB"/>
    <w:rPr>
      <w:rFonts w:ascii="Times New Roman" w:eastAsia="Times New Roman" w:hAnsi="Times New Roman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8FB"/>
    <w:rPr>
      <w:rFonts w:ascii="Times New Roman" w:eastAsiaTheme="minorEastAsia" w:hAnsi="Times New Roman" w:cs="Times New Roman"/>
      <w:b/>
      <w:bCs/>
      <w:sz w:val="20"/>
      <w:szCs w:val="20"/>
      <w:lang w:val="hr-BA" w:eastAsia="hr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8FB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7128FB"/>
    <w:rPr>
      <w:rFonts w:ascii="Times New Roman" w:eastAsiaTheme="minorEastAsia" w:hAnsi="Times New Roman" w:cs="Times New Roman"/>
      <w:b/>
      <w:bCs/>
      <w:sz w:val="20"/>
      <w:szCs w:val="20"/>
      <w:lang w:val="hr-BA" w:eastAsia="hr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8F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8FB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aliases w:val="Market4RES Lijstalinea Char,Resume Title Char,Citation List Char,Bullets1 Char,heading 4 Char,Lettre d'introduction Char,Paragrafo elenco Char,List Paragraph1 Char,1st level - Bullet List Paragraph Char,List Paragraph1 Car Char"/>
    <w:link w:val="ListParagraph"/>
    <w:uiPriority w:val="34"/>
    <w:locked/>
    <w:rsid w:val="007128FB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Market4RES Lijstalinea,Resume Title,Citation List,Bullets1,heading 4,Lettre d'introduction,Paragrafo elenco,List Paragraph1,1st level - Bullet List Paragraph,List Paragraph1 Car,Ha,Body,List Paragraph_Table bullets,Heading 1.1,Heading 21"/>
    <w:basedOn w:val="Normal"/>
    <w:link w:val="ListParagraphChar"/>
    <w:uiPriority w:val="34"/>
    <w:qFormat/>
    <w:rsid w:val="007128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egmentp">
    <w:name w:val="esegment_p"/>
    <w:basedOn w:val="Normal"/>
    <w:uiPriority w:val="99"/>
    <w:semiHidden/>
    <w:rsid w:val="007128FB"/>
    <w:pPr>
      <w:spacing w:after="140" w:line="240" w:lineRule="auto"/>
      <w:ind w:firstLine="160"/>
      <w:jc w:val="both"/>
    </w:pPr>
    <w:rPr>
      <w:rFonts w:ascii="Times New Roman" w:eastAsia="Times New Roman" w:hAnsi="Times New Roman" w:cs="Times New Roman"/>
      <w:color w:val="313131"/>
      <w:sz w:val="24"/>
      <w:szCs w:val="24"/>
      <w:lang w:val="en-US"/>
    </w:rPr>
  </w:style>
  <w:style w:type="paragraph" w:customStyle="1" w:styleId="esegmenth4">
    <w:name w:val="esegment_h4"/>
    <w:basedOn w:val="Normal"/>
    <w:uiPriority w:val="99"/>
    <w:semiHidden/>
    <w:rsid w:val="007128FB"/>
    <w:pPr>
      <w:spacing w:after="140" w:line="240" w:lineRule="auto"/>
      <w:jc w:val="center"/>
    </w:pPr>
    <w:rPr>
      <w:rFonts w:ascii="Times New Roman" w:eastAsia="Times New Roman" w:hAnsi="Times New Roman" w:cs="Times New Roman"/>
      <w:b/>
      <w:bCs/>
      <w:color w:val="313131"/>
      <w:sz w:val="24"/>
      <w:szCs w:val="24"/>
      <w:lang w:val="en-US"/>
    </w:rPr>
  </w:style>
  <w:style w:type="character" w:customStyle="1" w:styleId="GIZReportChar">
    <w:name w:val="GIZ Report Char"/>
    <w:basedOn w:val="DefaultParagraphFont"/>
    <w:link w:val="GIZReport"/>
    <w:uiPriority w:val="1"/>
    <w:semiHidden/>
    <w:locked/>
    <w:rsid w:val="007128FB"/>
    <w:rPr>
      <w:rFonts w:ascii="BundesSerif Office" w:eastAsiaTheme="minorEastAsia" w:hAnsi="BundesSerif Office" w:cs="Verdana"/>
      <w:sz w:val="20"/>
      <w:szCs w:val="20"/>
      <w:lang w:eastAsia="zh-CN"/>
    </w:rPr>
  </w:style>
  <w:style w:type="paragraph" w:customStyle="1" w:styleId="GIZReport">
    <w:name w:val="GIZ Report"/>
    <w:basedOn w:val="BodyText"/>
    <w:link w:val="GIZReportChar"/>
    <w:uiPriority w:val="1"/>
    <w:semiHidden/>
    <w:qFormat/>
    <w:rsid w:val="007128FB"/>
    <w:pPr>
      <w:spacing w:before="40" w:after="140" w:line="280" w:lineRule="atLeast"/>
      <w:ind w:left="720"/>
      <w:jc w:val="both"/>
    </w:pPr>
    <w:rPr>
      <w:rFonts w:ascii="BundesSerif Office" w:eastAsiaTheme="minorEastAsia" w:hAnsi="BundesSerif Office" w:cs="Verdana"/>
      <w:sz w:val="20"/>
      <w:szCs w:val="20"/>
      <w:lang w:eastAsia="zh-CN"/>
    </w:rPr>
  </w:style>
  <w:style w:type="paragraph" w:customStyle="1" w:styleId="box459199">
    <w:name w:val="box_459199"/>
    <w:basedOn w:val="Normal"/>
    <w:uiPriority w:val="99"/>
    <w:semiHidden/>
    <w:rsid w:val="0071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character" w:styleId="CommentReference">
    <w:name w:val="annotation reference"/>
    <w:basedOn w:val="DefaultParagraphFont"/>
    <w:uiPriority w:val="99"/>
    <w:semiHidden/>
    <w:unhideWhenUsed/>
    <w:rsid w:val="007128FB"/>
    <w:rPr>
      <w:sz w:val="16"/>
      <w:szCs w:val="16"/>
    </w:rPr>
  </w:style>
  <w:style w:type="character" w:customStyle="1" w:styleId="FontStyle19">
    <w:name w:val="Font Style19"/>
    <w:uiPriority w:val="99"/>
    <w:rsid w:val="007128F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tlid-translation">
    <w:name w:val="tlid-translation"/>
    <w:basedOn w:val="DefaultParagraphFont"/>
    <w:rsid w:val="007128FB"/>
  </w:style>
  <w:style w:type="character" w:customStyle="1" w:styleId="yiv5272060647gmail-tlid-translation">
    <w:name w:val="yiv5272060647gmail-tlid-translation"/>
    <w:basedOn w:val="DefaultParagraphFont"/>
    <w:rsid w:val="007128FB"/>
  </w:style>
  <w:style w:type="paragraph" w:styleId="Revision">
    <w:name w:val="Revision"/>
    <w:hidden/>
    <w:uiPriority w:val="99"/>
    <w:semiHidden/>
    <w:rsid w:val="007128FB"/>
    <w:pPr>
      <w:spacing w:after="0"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rsid w:val="00712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28F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7128FB"/>
    <w:rPr>
      <w:vertAlign w:val="superscript"/>
    </w:rPr>
  </w:style>
  <w:style w:type="paragraph" w:styleId="NoSpacing">
    <w:name w:val="No Spacing"/>
    <w:link w:val="NoSpacingChar"/>
    <w:uiPriority w:val="99"/>
    <w:qFormat/>
    <w:rsid w:val="007128FB"/>
    <w:pPr>
      <w:spacing w:after="0"/>
    </w:pPr>
    <w:rPr>
      <w:rFonts w:ascii="Calibri" w:eastAsia="Calibri" w:hAnsi="Calibri" w:cs="Times New Roman"/>
      <w:sz w:val="22"/>
      <w:szCs w:val="22"/>
    </w:rPr>
  </w:style>
  <w:style w:type="paragraph" w:customStyle="1" w:styleId="Normal1">
    <w:name w:val="Normal 1"/>
    <w:basedOn w:val="Normal"/>
    <w:link w:val="Normal1Char"/>
    <w:qFormat/>
    <w:rsid w:val="007128FB"/>
    <w:pPr>
      <w:shd w:val="clear" w:color="auto" w:fill="FFFFFF"/>
      <w:spacing w:after="0" w:line="240" w:lineRule="auto"/>
      <w:ind w:left="1417" w:firstLine="34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Normal1Char">
    <w:name w:val="Normal 1 Char"/>
    <w:link w:val="Normal1"/>
    <w:rsid w:val="007128FB"/>
    <w:rPr>
      <w:rFonts w:ascii="Times New Roman" w:eastAsia="Times New Roman" w:hAnsi="Times New Roman" w:cs="Times New Roman"/>
      <w:shd w:val="clear" w:color="auto" w:fill="FFFFFF"/>
      <w:lang w:val="ru-RU"/>
    </w:rPr>
  </w:style>
  <w:style w:type="paragraph" w:customStyle="1" w:styleId="Style11">
    <w:name w:val="Style11"/>
    <w:basedOn w:val="Normal"/>
    <w:uiPriority w:val="99"/>
    <w:rsid w:val="007128FB"/>
    <w:pPr>
      <w:widowControl w:val="0"/>
      <w:autoSpaceDE w:val="0"/>
      <w:autoSpaceDN w:val="0"/>
      <w:adjustRightInd w:val="0"/>
      <w:spacing w:after="0" w:line="270" w:lineRule="exact"/>
      <w:ind w:hanging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basedOn w:val="DefaultParagraphFont"/>
    <w:uiPriority w:val="99"/>
    <w:rsid w:val="007128FB"/>
    <w:rPr>
      <w:rFonts w:ascii="Times New Roman" w:hAnsi="Times New Roman" w:cs="Times New Roman" w:hint="default"/>
      <w:color w:val="000000"/>
      <w:spacing w:val="10"/>
      <w:sz w:val="20"/>
      <w:szCs w:val="20"/>
    </w:rPr>
  </w:style>
  <w:style w:type="paragraph" w:customStyle="1" w:styleId="Style8">
    <w:name w:val="Style8"/>
    <w:basedOn w:val="Normal"/>
    <w:uiPriority w:val="99"/>
    <w:rsid w:val="007128FB"/>
    <w:pPr>
      <w:widowControl w:val="0"/>
      <w:autoSpaceDE w:val="0"/>
      <w:autoSpaceDN w:val="0"/>
      <w:adjustRightInd w:val="0"/>
      <w:spacing w:after="0" w:line="272" w:lineRule="exact"/>
      <w:ind w:firstLine="29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128FB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NoSpacingChar">
    <w:name w:val="No Spacing Char"/>
    <w:link w:val="NoSpacing"/>
    <w:uiPriority w:val="99"/>
    <w:locked/>
    <w:rsid w:val="007128FB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E5BC-03F0-4111-A717-F2BFFD33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11959</Words>
  <Characters>68170</Characters>
  <Application>Microsoft Office Word</Application>
  <DocSecurity>0</DocSecurity>
  <Lines>568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2022-02-11T08:43:00Z</dcterms:created>
  <dcterms:modified xsi:type="dcterms:W3CDTF">2022-02-11T12:07:00Z</dcterms:modified>
</cp:coreProperties>
</file>